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473A5B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4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1.</w:t>
      </w:r>
      <w:r w:rsidRPr="002E7901">
        <w:rPr>
          <w:rFonts w:asciiTheme="minorHAnsi" w:hAnsiTheme="minorHAnsi" w:cstheme="minorHAnsi"/>
          <w:color w:val="000000" w:themeColor="text1"/>
        </w:rPr>
        <w:tab/>
        <w:t xml:space="preserve">A literature review helps the researcher to undertake research that is relevant. 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a.</w:t>
      </w:r>
      <w:r w:rsidRPr="002E7901">
        <w:rPr>
          <w:rFonts w:asciiTheme="minorHAnsi" w:hAnsiTheme="minorHAnsi" w:cstheme="minorHAnsi"/>
          <w:color w:val="000000" w:themeColor="text1"/>
        </w:rPr>
        <w:tab/>
        <w:t>T*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2.</w:t>
      </w:r>
      <w:r w:rsidRPr="002E7901">
        <w:rPr>
          <w:rFonts w:asciiTheme="minorHAnsi" w:hAnsiTheme="minorHAnsi" w:cstheme="minorHAnsi"/>
          <w:color w:val="000000" w:themeColor="text1"/>
        </w:rPr>
        <w:tab/>
        <w:t xml:space="preserve">A literature review adds to the probability of finding significant relationships. 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a.</w:t>
      </w:r>
      <w:r w:rsidRPr="002E7901">
        <w:rPr>
          <w:rFonts w:asciiTheme="minorHAnsi" w:hAnsiTheme="minorHAnsi" w:cstheme="minorHAnsi"/>
          <w:color w:val="000000" w:themeColor="text1"/>
        </w:rPr>
        <w:tab/>
        <w:t>T*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3.  The functions of the critical literature review depend on the specific research approach that is taken.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*a.</w:t>
      </w:r>
      <w:r w:rsidRPr="002E7901">
        <w:rPr>
          <w:rFonts w:asciiTheme="minorHAnsi" w:hAnsiTheme="minorHAnsi" w:cs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 xml:space="preserve">4. In </w:t>
      </w:r>
      <w:r w:rsidRPr="002E7901">
        <w:rPr>
          <w:rFonts w:asciiTheme="minorHAnsi" w:hAnsiTheme="minorHAnsi" w:cstheme="minorHAnsi"/>
          <w:i/>
          <w:color w:val="000000" w:themeColor="text1"/>
        </w:rPr>
        <w:t>inductive</w:t>
      </w:r>
      <w:r w:rsidRPr="002E7901">
        <w:rPr>
          <w:rFonts w:asciiTheme="minorHAnsi" w:hAnsiTheme="minorHAnsi" w:cstheme="minorHAnsi"/>
          <w:color w:val="000000" w:themeColor="text1"/>
        </w:rPr>
        <w:t xml:space="preserve"> research, a literature review will help the researcher to develop a theoretical framework and hypotheses.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a.</w:t>
      </w:r>
      <w:r w:rsidRPr="002E7901">
        <w:rPr>
          <w:rFonts w:asciiTheme="minorHAnsi" w:hAnsiTheme="minorHAnsi" w:cs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*b.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</w:p>
    <w:p w:rsidR="00F47AEB" w:rsidRPr="002E7901" w:rsidRDefault="00F47AEB" w:rsidP="00F47AEB">
      <w:pPr>
        <w:pStyle w:val="ListNumbered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E79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5. A critical literature review ensures that the research effort is positioned relative to existing knowledge and builds on this knowledge.  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*a.</w:t>
      </w:r>
      <w:r w:rsidRPr="002E7901">
        <w:rPr>
          <w:rFonts w:asciiTheme="minorHAnsi" w:hAnsiTheme="minorHAnsi" w:cs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pStyle w:val="ListNumbered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E79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6. A critical literature review ensures that a clearer idea emerges as to what variables will be important to consider, why they are considered important, and how they should be investigated to solve the problem. 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*a.</w:t>
      </w:r>
      <w:r w:rsidRPr="002E7901">
        <w:rPr>
          <w:rFonts w:asciiTheme="minorHAnsi" w:hAnsiTheme="minorHAnsi" w:cs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pStyle w:val="ListNumbered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E7901">
        <w:rPr>
          <w:rFonts w:asciiTheme="minorHAnsi" w:hAnsiTheme="minorHAnsi" w:cstheme="minorHAnsi"/>
          <w:color w:val="000000" w:themeColor="text1"/>
          <w:sz w:val="22"/>
          <w:szCs w:val="22"/>
        </w:rPr>
        <w:t>7.</w:t>
      </w:r>
      <w:r w:rsidRPr="002E7901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A critical literature review may have a negative effect on the testability and </w:t>
      </w:r>
      <w:proofErr w:type="spellStart"/>
      <w:r w:rsidRPr="002E7901">
        <w:rPr>
          <w:rFonts w:asciiTheme="minorHAnsi" w:hAnsiTheme="minorHAnsi" w:cstheme="minorHAnsi"/>
          <w:color w:val="000000" w:themeColor="text1"/>
          <w:sz w:val="22"/>
          <w:szCs w:val="22"/>
        </w:rPr>
        <w:t>replicability</w:t>
      </w:r>
      <w:proofErr w:type="spellEnd"/>
      <w:r w:rsidRPr="002E79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of the findings of the current research.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*a.</w:t>
      </w:r>
      <w:r w:rsidRPr="002E7901">
        <w:rPr>
          <w:rFonts w:asciiTheme="minorHAnsi" w:hAnsiTheme="minorHAnsi" w:cs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F47AEB" w:rsidRPr="002E7901" w:rsidRDefault="00F47AEB" w:rsidP="00F47AEB">
      <w:pPr>
        <w:pStyle w:val="Para"/>
        <w:ind w:left="0" w:firstLine="0"/>
        <w:rPr>
          <w:rFonts w:asciiTheme="minorHAnsi" w:hAnsiTheme="minorHAnsi"/>
          <w:color w:val="000000" w:themeColor="text1"/>
          <w:sz w:val="22"/>
          <w:szCs w:val="22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8. </w:t>
      </w:r>
      <w:r w:rsidRPr="002E7901">
        <w:rPr>
          <w:rFonts w:asciiTheme="minorHAnsi" w:hAnsiTheme="minorHAnsi" w:cs="Garamond"/>
          <w:color w:val="000000" w:themeColor="text1"/>
        </w:rPr>
        <w:t xml:space="preserve">The quality of a literature review depends on a cautious selection and reading of books, academic and professional journals, reports, theses, conference proceedings, unpublished manuscripts, and the like. 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 w:cs="Arial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9.  Conference proceedings are quite valuable if you are working in a relatively new area or domain.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ind w:left="0" w:firstLine="0"/>
        <w:rPr>
          <w:rFonts w:asciiTheme="minorHAnsi" w:hAnsiTheme="minorHAnsi" w:cs="Arial"/>
          <w:color w:val="000000" w:themeColor="text1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 w:cs="Arial"/>
          <w:color w:val="000000" w:themeColor="text1"/>
        </w:rPr>
        <w:t xml:space="preserve">10. </w:t>
      </w:r>
      <w:r w:rsidRPr="002E7901">
        <w:rPr>
          <w:rFonts w:asciiTheme="minorHAnsi" w:hAnsiTheme="minorHAnsi" w:cs="Garamond"/>
          <w:color w:val="000000" w:themeColor="text1"/>
        </w:rPr>
        <w:t xml:space="preserve">PhD theses often contain an exhaustive review of the literature in a specific area. 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11. The quality of the journal that published an article is unrelated to the quality of a research article.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12.  Online </w:t>
      </w:r>
      <w:r w:rsidRPr="002E7901">
        <w:rPr>
          <w:rFonts w:asciiTheme="minorHAnsi" w:hAnsiTheme="minorHAnsi"/>
          <w:bCs/>
          <w:color w:val="000000" w:themeColor="text1"/>
        </w:rPr>
        <w:t>databases</w:t>
      </w:r>
      <w:r w:rsidRPr="002E7901">
        <w:rPr>
          <w:rFonts w:asciiTheme="minorHAnsi" w:hAnsiTheme="minorHAnsi"/>
          <w:b/>
          <w:bCs/>
          <w:color w:val="000000" w:themeColor="text1"/>
        </w:rPr>
        <w:t xml:space="preserve"> </w:t>
      </w:r>
      <w:r w:rsidRPr="002E7901">
        <w:rPr>
          <w:rFonts w:asciiTheme="minorHAnsi" w:hAnsiTheme="minorHAnsi"/>
          <w:color w:val="000000" w:themeColor="text1"/>
        </w:rPr>
        <w:t>display only the bibliographic citations such as the name of the author, the title of the article (or book), source of publication, and the like.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13. Articles and books that were written thirty or even forty years ago should never be included in the literature review.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spacing w:before="100" w:beforeAutospacing="1" w:after="150" w:line="360" w:lineRule="atLeast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14. Both purposely misrepresenting the work of others and plagiarism are considered to be fraud. 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</w:p>
    <w:p w:rsidR="00F47AEB" w:rsidRPr="002E7901" w:rsidRDefault="00F47AEB" w:rsidP="00F47AEB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15. P</w:t>
      </w:r>
      <w:r w:rsidRPr="002E7901">
        <w:rPr>
          <w:rFonts w:asciiTheme="minorHAnsi" w:hAnsiTheme="minorHAnsi"/>
          <w:color w:val="000000" w:themeColor="text1"/>
          <w:lang w:eastAsia="nl-NL"/>
        </w:rPr>
        <w:t>roviding inaccurate information regarding the sources, making it impossible to find them is a form of plagiarism.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47AEB" w:rsidRPr="002E7901" w:rsidRDefault="00F47AEB" w:rsidP="00F47AEB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67424C" w:rsidRPr="00677826" w:rsidRDefault="0067424C" w:rsidP="001030E4">
      <w:pPr>
        <w:jc w:val="both"/>
        <w:rPr>
          <w:lang w:val="en-GB"/>
        </w:rPr>
      </w:pPr>
      <w:bookmarkStart w:id="0" w:name="_GoBack"/>
      <w:bookmarkEnd w:id="0"/>
    </w:p>
    <w:sectPr w:rsidR="0067424C" w:rsidRPr="00677826" w:rsidSect="005807BB">
      <w:headerReference w:type="default" r:id="rId7"/>
      <w:footerReference w:type="default" r:id="rId8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01FB" wp14:editId="43A6E94D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316AD385" wp14:editId="6A415D52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354788"/>
    <w:rsid w:val="00473A5B"/>
    <w:rsid w:val="005807BB"/>
    <w:rsid w:val="005852DD"/>
    <w:rsid w:val="0067424C"/>
    <w:rsid w:val="00677826"/>
    <w:rsid w:val="00753BF7"/>
    <w:rsid w:val="00A71282"/>
    <w:rsid w:val="00F4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4</cp:revision>
  <dcterms:created xsi:type="dcterms:W3CDTF">2013-04-08T09:14:00Z</dcterms:created>
  <dcterms:modified xsi:type="dcterms:W3CDTF">2013-04-08T09:21:00Z</dcterms:modified>
</cp:coreProperties>
</file>